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1" w:name="_GoBack"/>
      <w:bookmarkEnd w:id="1"/>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楷体"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木垒县2023年防返贫救助保险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木垒哈萨克自治县乡村振兴综合保障中心</w:t>
      </w:r>
    </w:p>
    <w:p>
      <w:pPr>
        <w:spacing w:line="540" w:lineRule="exact"/>
        <w:ind w:left="718" w:leftChars="342" w:firstLine="180" w:firstLineChars="50"/>
        <w:rPr>
          <w:rFonts w:ascii="楷体" w:hAnsi="楷体" w:eastAsia="仿宋_GB2312"/>
          <w:b/>
          <w:bCs/>
          <w:spacing w:val="-4"/>
          <w:sz w:val="32"/>
          <w:szCs w:val="32"/>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木垒哈萨克自治县乡村振兴综合保障</w:t>
      </w:r>
      <w:r>
        <w:rPr>
          <w:rFonts w:hint="eastAsia" w:hAnsi="宋体" w:eastAsia="仿宋_GB2312" w:cs="宋体"/>
          <w:kern w:val="0"/>
          <w:sz w:val="36"/>
          <w:szCs w:val="36"/>
        </w:rPr>
        <w:t>项目负责人（签章）：于鹏</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Fonts w:hint="eastAsia" w:ascii="宋体" w:hAnsi="宋体" w:cs="宋体"/>
          <w:sz w:val="28"/>
          <w:szCs w:val="28"/>
          <w:lang w:bidi="ar"/>
        </w:rPr>
        <w:t>2</w:t>
      </w:r>
      <w:r>
        <w:rPr>
          <w:rStyle w:val="18"/>
          <w:rFonts w:hint="eastAsia" w:ascii="楷体" w:hAnsi="楷体" w:eastAsia="楷体"/>
          <w:b w:val="0"/>
          <w:bCs w:val="0"/>
          <w:spacing w:val="-4"/>
          <w:sz w:val="32"/>
          <w:szCs w:val="32"/>
        </w:rPr>
        <w:t>020 年，我国进入全面建成小康社会的战略决胜阶段，全国范  围内的精准脱贫工作取得显著效果。2021年，由于返贫风险客观存在，我国脱贫工作重点由消灭绝对贫困转向防止返贫与巩固脱贫成果，防止部分地区出现“贫困—脱贫—返贫”的沙漏式现象。防贫保险作  为财政部门与人保财险推出的保险，由政府出资购买，第三方兜底防贫服务，防止脱贫人口返贫、致贫，织密防返贫“保护网”，切实</w:t>
      </w:r>
      <w:r>
        <w:rPr>
          <w:rStyle w:val="18"/>
          <w:rFonts w:hint="eastAsia" w:ascii="楷体" w:hAnsi="楷体" w:eastAsia="楷体"/>
          <w:b w:val="0"/>
          <w:bCs w:val="0"/>
          <w:spacing w:val="-4"/>
          <w:sz w:val="32"/>
          <w:szCs w:val="32"/>
          <w:lang w:eastAsia="zh-CN"/>
        </w:rPr>
        <w:t>巩固拓展脱贫攻坚成果</w:t>
      </w:r>
      <w:r>
        <w:rPr>
          <w:rStyle w:val="18"/>
          <w:rFonts w:hint="eastAsia" w:ascii="楷体" w:hAnsi="楷体" w:eastAsia="楷体"/>
          <w:b w:val="0"/>
          <w:bCs w:val="0"/>
          <w:spacing w:val="-4"/>
          <w:sz w:val="32"/>
          <w:szCs w:val="32"/>
        </w:rPr>
        <w:t>。随着中央一号《关于抓好“三农”领域重点工作 确保如期实现全面小康的意见》正式发布，文中指出，各地要对已脱贫人口开展全面排查，加强对不稳定脱贫户、边缘户的动态监测，将返贫人口和新发生贫困人口及时纳入帮扶，为巩固脱贫成果提供制度保障。2020年全面实现脱贫攻坚目标后,如何守住这来之不易的脱贫成果?“精准防贫”是对“精准扶贫”的引申和发展,要从根本上消灭贫困问题,必须从源头上解决贫困增量的问题。“精准防贫”模式是以精准识别和帮扶两类临贫、易贫人群为发力点，瞄准处于贫困边缘的农村低收入户和人均收入不高不稳的脱贫户这两类重点人群，通过保险公司与政府的合作，构建起良性运行机制，创设政府防贫救助保险。政府防贫救助保险是积极响应党中央、国务院关于“精准扶贫”、“精准脱贫”的政策号召，充分发挥保险业在建立健全针对特定人口的保险保障体系、缓解贫困群众因病致贫问题等方面的重要作用应运而生的创新型保险产品。防贫的关键在于精准，在于是否能够把有限的防贫资金精准地投放到每一个贫困人口手中。通过保险参与防贫救助，辖区人员发生致贫危机时，保险及时介入化解致贫人员的经济困难，积极协助政府实现精准防贫和精准脱贫政策的落地。</w:t>
      </w:r>
    </w:p>
    <w:p>
      <w:pPr>
        <w:pStyle w:val="4"/>
        <w:spacing w:line="360" w:lineRule="auto"/>
        <w:ind w:firstLine="624" w:firstLineChars="200"/>
        <w:rPr>
          <w:rStyle w:val="18"/>
          <w:rFonts w:ascii="楷体" w:hAnsi="楷体" w:eastAsia="楷体"/>
          <w:b w:val="0"/>
          <w:bCs w:val="0"/>
          <w:spacing w:val="-4"/>
          <w:sz w:val="32"/>
          <w:szCs w:val="32"/>
        </w:rPr>
      </w:pPr>
    </w:p>
    <w:p>
      <w:pPr>
        <w:pStyle w:val="4"/>
        <w:spacing w:line="360" w:lineRule="auto"/>
        <w:ind w:firstLine="624" w:firstLineChars="200"/>
        <w:rPr>
          <w:rStyle w:val="18"/>
          <w:rFonts w:ascii="楷体" w:hAnsi="楷体" w:eastAsia="楷体"/>
          <w:b w:val="0"/>
          <w:bCs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ind w:firstLine="627" w:firstLineChars="200"/>
        <w:rPr>
          <w:rStyle w:val="18"/>
          <w:rFonts w:ascii="楷体" w:hAnsi="楷体" w:eastAsia="楷体"/>
          <w:b w:val="0"/>
          <w:bCs w:val="0"/>
          <w:spacing w:val="-4"/>
          <w:sz w:val="32"/>
          <w:szCs w:val="32"/>
        </w:rPr>
      </w:pPr>
      <w:r>
        <w:rPr>
          <w:rStyle w:val="18"/>
          <w:rFonts w:hint="eastAsia" w:ascii="楷体" w:hAnsi="楷体" w:eastAsia="楷体"/>
          <w:spacing w:val="-4"/>
          <w:sz w:val="32"/>
          <w:szCs w:val="32"/>
        </w:rPr>
        <w:t>（一）绩效评价目的、对象和范围</w:t>
      </w:r>
      <w:r>
        <w:rPr>
          <w:rFonts w:hint="eastAsia" w:ascii="宋体" w:hAnsi="宋体" w:cs="宋体"/>
          <w:b/>
          <w:bCs/>
          <w:color w:val="000000" w:themeColor="text1"/>
          <w:kern w:val="0"/>
          <w:sz w:val="28"/>
          <w:szCs w:val="28"/>
          <w:lang w:bidi="ar"/>
          <w14:textFill>
            <w14:solidFill>
              <w14:schemeClr w14:val="tx1"/>
            </w14:solidFill>
          </w14:textFill>
        </w:rPr>
        <w:t xml:space="preserve">规范预算绩效管理、提高资金使用效率。 </w:t>
      </w:r>
      <w:r>
        <w:rPr>
          <w:rStyle w:val="18"/>
          <w:rFonts w:hint="eastAsia" w:ascii="楷体" w:hAnsi="楷体" w:eastAsia="楷体"/>
          <w:b w:val="0"/>
          <w:bCs w:val="0"/>
          <w:spacing w:val="-4"/>
          <w:sz w:val="32"/>
          <w:szCs w:val="32"/>
        </w:rPr>
        <w:t>运用科学、规范的绩效评价方法，收集项目资金相关数据和绩效信息并进行汇总分析，通过项目绩效评价，加强财政支出项目的资金管理，提高财政资财政资金支出绩效评价（以下简称绩效评价）是指财政部门和预算部门（单位）根据设定的绩效目标，运用科学、合理的绩效评价指标、评价标准和评价方法，对财政支出的经济性、效率性和效益性进行客观、公正的评价。</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根据财政部为深入贯彻落实《中共中央 国务院关于全面实施预算绩效管理的意见》（中发〔2018〕34 号）、《项目支出绩效评价管理办法》（财预〔2020〕10 号）、新疆维吾尔自治区财政厅《2023年度自治区各地县全面实施预算绩效管理工作台账》、昌吉州财政局《关于印发&lt;2023年度昌吉州全面实施预算绩效管理工作计划&gt;的通知》等文件要求，木垒县财政局成立了绩效评价工作组，聘请第三方对该项目2022 年度执行情况和资金使用情况进行绩效评价。</w:t>
      </w:r>
    </w:p>
    <w:p>
      <w:pPr>
        <w:ind w:firstLine="624" w:firstLineChars="200"/>
        <w:rPr>
          <w:rStyle w:val="18"/>
          <w:rFonts w:ascii="楷体" w:hAnsi="楷体" w:eastAsia="楷体"/>
          <w:b w:val="0"/>
          <w:bCs w:val="0"/>
          <w:spacing w:val="-4"/>
          <w:sz w:val="32"/>
          <w:szCs w:val="32"/>
        </w:rPr>
      </w:pPr>
      <w:bookmarkStart w:id="0" w:name="_Toc14524"/>
      <w:r>
        <w:rPr>
          <w:rStyle w:val="18"/>
          <w:rFonts w:hint="eastAsia" w:ascii="楷体" w:hAnsi="楷体" w:eastAsia="楷体"/>
          <w:b w:val="0"/>
          <w:bCs w:val="0"/>
          <w:spacing w:val="-4"/>
          <w:sz w:val="32"/>
          <w:szCs w:val="32"/>
        </w:rPr>
        <w:t>1. 绩效评价目的</w:t>
      </w:r>
      <w:bookmarkEnd w:id="0"/>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金使用合理性和有效性，促进预算管理不断完善，并优化木垒县政府防贫救助保险项目工作程序、提高项目管理效率，从而大大提高项目的工作成效，加快绩效目标的实现。</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通过对项目财政资金投入和执行情况评价，进一步剖析财政资金使用的安全性和规范性，资金使用的效率和效益，财务制度是否健全，财务手续和流程是否完善，执行是否严格，以规范预算管理，提高资金使用效率。 </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将绩效评价结果与项目预算挂钩，为指导预算编制、申报绩效目标，改进项目资金管理和年度专项资金分配提供重要决策依据，进一步规范财政资金管理，强化财政支出绩效理念，加强部门责任意识，切实提高专项资金的使用效益及配置效率，实现财政资源配置效益与效率最大化。</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对木垒县乡村振兴综合保障中心的木垒县政府防贫救助保险项目进行绩效评价的目的主要有：</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（1）对木垒县政府防贫救助保险项目进行客观公正的评价，有效反映项目的管理情况。</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（2）总结木垒县政府防贫救助保险项目资金在使用过程中的经验和教训，为下一年度提高类似资金的经济性、效率性和效益性提供参考依据。</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（3）重点考量项目的实施对覆盖区域群众带来的社会效益、经济效益等情况，确保项目的实施对当地镇、村农牧民起到了防返贫的作用。</w:t>
      </w:r>
    </w:p>
    <w:p>
      <w:pPr>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为了提高资金使用效益，从预算的编制、资金的使用、项目的管理、目标的实现等方面通过绩效评价，帮助分析存在的问题，及时总结经验，改进项目管理措施，提高单位绩效管理水平，为项目的管理，资金的使用，提供参考及建议。</w:t>
      </w:r>
    </w:p>
    <w:p>
      <w:pPr>
        <w:ind w:firstLine="624" w:firstLineChars="200"/>
        <w:rPr>
          <w:rStyle w:val="18"/>
          <w:rFonts w:ascii="楷体" w:hAnsi="楷体" w:eastAsia="楷体"/>
          <w:b w:val="0"/>
          <w:bCs w:val="0"/>
          <w:spacing w:val="-4"/>
          <w:sz w:val="32"/>
          <w:szCs w:val="32"/>
        </w:rPr>
      </w:pPr>
    </w:p>
    <w:p>
      <w:pPr>
        <w:widowControl/>
        <w:ind w:firstLine="624" w:firstLineChars="200"/>
        <w:jc w:val="lef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本次绩效评价对象为2022年木垒县政府防贫救助保险资金。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Fonts w:hint="eastAsia" w:ascii="宋体" w:hAnsi="宋体" w:cs="宋体"/>
          <w:color w:val="000000" w:themeColor="text1"/>
          <w:kern w:val="0"/>
          <w:sz w:val="28"/>
          <w:szCs w:val="28"/>
          <w:lang w:bidi="ar"/>
          <w14:textFill>
            <w14:solidFill>
              <w14:schemeClr w14:val="tx1"/>
            </w14:solidFill>
          </w14:textFill>
        </w:rPr>
        <w:t>本</w:t>
      </w:r>
      <w:r>
        <w:rPr>
          <w:rStyle w:val="18"/>
          <w:rFonts w:hint="eastAsia" w:ascii="楷体" w:hAnsi="楷体" w:eastAsia="楷体"/>
          <w:b w:val="0"/>
          <w:bCs w:val="0"/>
          <w:spacing w:val="-4"/>
          <w:sz w:val="32"/>
          <w:szCs w:val="32"/>
        </w:rPr>
        <w:t>次绩效评价对象为2022年木垒县政府防贫救助保险项目，涉及县财政预算资金 276.23万元，资金主要用于为全县6.8万常住人口以及流动人口，购买保费为53元/人的防贫保险，保险救助范围包含交通事故、自然灾害、意外事故、食品安全、收入补充、见义勇为、救灾安置费用和紧急救援费用等，由承保保险公司对上述因素致贫或返贫人口进行理赔。</w:t>
      </w:r>
    </w:p>
    <w:p>
      <w:pPr>
        <w:widowControl/>
        <w:ind w:firstLine="624" w:firstLineChars="200"/>
        <w:jc w:val="lef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本次绩效评价范围主要包括以下六个方面：决策情况、资金管理和使用情况、相关管理制度办法的健全性及执行情况、实现的产出情况、取得的效益情况、其他相关内容。主要调查村民满意度、分析项目的优势</w:t>
      </w:r>
      <w:r>
        <w:rPr>
          <w:rStyle w:val="18"/>
          <w:rFonts w:hint="eastAsia" w:ascii="楷体" w:hAnsi="楷体" w:eastAsia="楷体"/>
          <w:b w:val="0"/>
          <w:bCs w:val="0"/>
          <w:spacing w:val="-4"/>
          <w:sz w:val="32"/>
          <w:szCs w:val="32"/>
          <w:lang w:eastAsia="zh-CN"/>
        </w:rPr>
        <w:t>以及</w:t>
      </w:r>
      <w:r>
        <w:rPr>
          <w:rStyle w:val="18"/>
          <w:rFonts w:hint="eastAsia" w:ascii="楷体" w:hAnsi="楷体" w:eastAsia="楷体"/>
          <w:b w:val="0"/>
          <w:bCs w:val="0"/>
          <w:spacing w:val="-4"/>
          <w:sz w:val="32"/>
          <w:szCs w:val="32"/>
        </w:rPr>
        <w:t>对防贫工作做出的贡献和形成的影响力，分析项目运行存在的问题或不足之处，并提出合理化建议和改进方案，为今后相关各方面实施类似项目及长效管理提供借鉴与参考。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10日，我单位在收到自评工作任务后及时组织了绩效评价工作小组，其中芦文瑾为组长，主要负责工作安排，张光海为副组长，主要负责报告的审核、指导，组员郎明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2024年3月10日，评价组通过前期调研确定绩效评价对象和范围，确定了评价的目的、方法以及评价的原则；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 xml:space="preserve"> 2024年3月12日，根据项目的实施内容和特征制定了评价指标体系及评价标准以及评价实施方案，修正并确定所需资料清单，最终确定绩效评价工作方案；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2024年3月15日- 3月18日，评价工作进入实施阶段：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2024年3月24日- 4月3日，评价组按照绩效评价的原则和规范，对取得的资料进行审查核实，对采集的数据进行分析，按照绩效评价指标评分表逐项进行打分、分析，汇总各方评价结果，综合分析并形成评价结论。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农业农村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  项目决策  项目过程  项目产出  项目效益  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15       15         50          20       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1.立项程序充分性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①《木垒县2023年轮作补贴项目规划》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②《关于印发2023年昌吉州耕地轮作项目实施方案的通知》（昌州农字〔2023〕31号）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③《关于提前下达2023年中央农业资源及生态保护补助资金预算的通知》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①项目立项程序：——农户申报。农户自愿申请，向村委会据实申报符合条件的轮作补助面积。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——核实公示。村两委组织全面核实，进行实名公示，公示内容主要大额病、交通事故等，公示时间不少于5个工作日，公示无异议后报乡镇人民政府。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——乡镇复核。乡(镇)组织对村级上报的轮作补助面积开展实地复核，无误后，报县(市、区)人核实认定。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——核实认定。县级部人门牵头会同纪检监察、财政、自然资源等部门，对乡镇复核后的轮作补助面积进行实地核实。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——二次公示。县(市、区)核定无误后，委托村级在村委会进行二次公示，公示内容主要包括，公示时间不少于5个工作日。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——保险救助范围包含交通事故、自然灾害、意外事故、食品安全、收入补充、见义勇为、救灾安置费用和紧急救援费用等发放补助。</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②审批文件、材料：本项目审批文件有：（昌州财字〔2023〕28号）、《木垒县本级资金使用审批表》，审批文件及材料齐全；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木垒县2023年耕地轮作项目设立了项目绩效目标，与耕地轮作具有相关性，项目的预期产出效益和效果也均能符合正常的业绩水平，并且与预算确定的项目投资额或资金量相匹配。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2023年耕地轮作项目将项目绩效目标细化分解为具体绩效指标，一级指标共3条，二级指标共5条，三级指标共8条，其中量化指标条数共8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昌吉州农业农村局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关于印发2023年昌吉州耕地轮作项目实施方案的通知》（昌州农字〔2023〕31号），项目资金分配额度无偏低或偏高情况，分配额度合理。项目单位为木垒县农业农村局单位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实际到位资276.2万元，预算资金276.2万元，资金到位率100%。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年初预算数276.2万元，全年预算数276.2万元，全年执行数276.2万元，预算执行率为100%。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财政局单位资金拨付审批程序进行：由生产股科室提交木垒县上级专项资金使用申请到木垒县农业农村局主要领导，经审批后提交到木垒县财政局。项目资金拨付手续齐全，资金拨付手续有：木垒县上级专项资金使用审批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项目资金截至2023年7月31日已拨付至100%，过程不存在截留、挤占、挪用、虚列支出等情况。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本项目已制定《木垒县农业农村局耕地轮作项目财务管理制度》、《木垒县农业农村局耕地轮作项目业务管理制度》，管理制度健全；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本项目财务及业务管理制度符合《中华人民共和国政府采购法》、《中华人民共和国会计法》等相关法律法规，财务和业务管理制度已经过木垒县财政局审批通过，确保了各项制度的合法合规性及完整性。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我单位2023年耕地轮作项目截止到2023年7月31日，已完成100%；其中：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指标1：承包投保人数：≥68000人，实际完成值，指标完成率68000人100 %。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指标1：符合条件的投保人保险赔付率，指标值：=98%，实际完成值=98%，指标完成率100%；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指标2：保险赔付资金发放率（%），指标值：=100%，实际完成值=100%，指标完成率100 %。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指标1：保险赔付及时率，指标值：=100%，实际完成值=100%，指标完成率100%。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指标1：享受扶贫救助保险人员防返贫旅，指标值：≤98%，实际完成值98%，指标完成率100%。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指标1：单位土地面积综合经济效益增加，指标值：增加，指标完成率100%。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指标1：土地综合生产能力提升率，指标值≥20%，实际完成值20%，指标完成率达到100%。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指标2：优化种植结构指标值：指标值：大力提升，实际完成值：大力优化，指标完成率100%。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指标1：耕地轮作补贴群众满意度（%），指标值：≥85%，实际完成值90%，指标完成率100%。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ascii="黑体" w:hAnsi="黑体" w:eastAsia="黑体"/>
          <w:b w:val="0"/>
          <w:spacing w:val="-4"/>
          <w:sz w:val="32"/>
          <w:szCs w:val="32"/>
        </w:rPr>
      </w:pPr>
      <w:r>
        <w:rPr>
          <w:rStyle w:val="18"/>
          <w:rFonts w:hint="eastAsia" w:ascii="楷体" w:hAnsi="楷体" w:eastAsia="楷体"/>
          <w:b w:val="0"/>
          <w:bCs w:val="0"/>
          <w:spacing w:val="-4"/>
          <w:sz w:val="32"/>
          <w:szCs w:val="32"/>
        </w:rPr>
        <w:t>五、预算执行进度与绩效指标偏差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字〔2023〕28号）内容及工作进度，木垒县财政局于2023年7月31日前拨付276.2万元至各乡镇财政所。截至2023年7月31日已执行276.2万元，预算执行率100%。为本级财政资金，实际到位率万276.2元，资金到位率100%，实际执行276.2万元，执行率100%，资金落实到位。为确保项目资金的安全有效使用、安全运行，提高资金的使用效率，我单位严格按照木垒县财政局财务会计内部控制制度执行，资金由财政大平台统一拨付，由财政监管，严禁随意调整预算，改变支出用途，做到专款专用，严禁截留、挪用、挤占项目资金等违规违纪问题的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对项目进展进行实地查看，县农业农村局会同有关部门适时开展耕地轮作督导检查，实地核查轮作面积，跟踪地块种植作物变化，强化工作调度，及时发现并解决问题，确保我县试点任务经得起国家和自治区的核查核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及时对轮作工作进展情况进行总结，通过现场观摩等方式，大力推行新的轮作制度，增强农业绿色发展的自觉性。要充分利用广播、电视、网络等媒体，积极宣传开展耕地轮作项目的重要意义和作用，引导社会各界关注支持轮作工作，营造良好的舆论氛围。。（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对项目支出绩效工作的认识有待于提高。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耀#'C:\Users\Administrator\AppData\Roaming\C:\Users\Administrator\AppData\Local\C:\Users\Administrator\AppData\Roaming\C:\Users\Administrator\AppData\Roaming\D:\Documents\C:\Users\Administrator\AppData\Local\샐ʧ菀ͻ쇀ʧ螀ͻ쎠ʧ蠠ͻ쒐ʧ裀ͻ얀ʧ譀ͻ꓀ʧ猠ͽ넠ʧC:\Users\Administrator\AppData\Roami"/>
  </w:docVars>
  <w:rsids>
    <w:rsidRoot w:val="00CA6457"/>
    <w:rsid w:val="00056465"/>
    <w:rsid w:val="000C057F"/>
    <w:rsid w:val="00102DFF"/>
    <w:rsid w:val="0012073C"/>
    <w:rsid w:val="00121AE4"/>
    <w:rsid w:val="00146AAD"/>
    <w:rsid w:val="00151FA7"/>
    <w:rsid w:val="001B3A40"/>
    <w:rsid w:val="002401A8"/>
    <w:rsid w:val="00291BC0"/>
    <w:rsid w:val="002928F0"/>
    <w:rsid w:val="002B7DF5"/>
    <w:rsid w:val="00302D57"/>
    <w:rsid w:val="00311DBE"/>
    <w:rsid w:val="004366A8"/>
    <w:rsid w:val="00496C5B"/>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27261"/>
    <w:rsid w:val="00D30354"/>
    <w:rsid w:val="00DF42A0"/>
    <w:rsid w:val="00E30E91"/>
    <w:rsid w:val="00E769FE"/>
    <w:rsid w:val="00EA2CBE"/>
    <w:rsid w:val="00EB572A"/>
    <w:rsid w:val="00F32FEE"/>
    <w:rsid w:val="00FB10BB"/>
    <w:rsid w:val="0856517C"/>
    <w:rsid w:val="0BFB189F"/>
    <w:rsid w:val="11BD75F7"/>
    <w:rsid w:val="13BE561A"/>
    <w:rsid w:val="15392994"/>
    <w:rsid w:val="165861F1"/>
    <w:rsid w:val="18FE139B"/>
    <w:rsid w:val="1D7416E8"/>
    <w:rsid w:val="1DB70921"/>
    <w:rsid w:val="29E45C67"/>
    <w:rsid w:val="3029612C"/>
    <w:rsid w:val="32A221C5"/>
    <w:rsid w:val="33F20F2A"/>
    <w:rsid w:val="34C44675"/>
    <w:rsid w:val="3B5B5607"/>
    <w:rsid w:val="3CE21B3C"/>
    <w:rsid w:val="43990F53"/>
    <w:rsid w:val="47930DAB"/>
    <w:rsid w:val="49801224"/>
    <w:rsid w:val="4D2606A1"/>
    <w:rsid w:val="51830480"/>
    <w:rsid w:val="51DF62CA"/>
    <w:rsid w:val="53A616BE"/>
    <w:rsid w:val="54662BFB"/>
    <w:rsid w:val="5509001A"/>
    <w:rsid w:val="62051CA5"/>
    <w:rsid w:val="6C3A69EF"/>
    <w:rsid w:val="74797FDA"/>
    <w:rsid w:val="74E85AC9"/>
    <w:rsid w:val="7BD46398"/>
    <w:rsid w:val="7BDF2CF1"/>
    <w:rsid w:val="7D9B6148"/>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3"/>
    <w:qFormat/>
    <w:uiPriority w:val="9"/>
    <w:rPr>
      <w:rFonts w:asciiTheme="majorHAnsi" w:hAnsiTheme="majorHAnsi" w:eastAsiaTheme="majorEastAsia"/>
      <w:b/>
      <w:bCs/>
      <w:kern w:val="32"/>
      <w:sz w:val="32"/>
      <w:szCs w:val="32"/>
    </w:rPr>
  </w:style>
  <w:style w:type="character" w:customStyle="1" w:styleId="21">
    <w:name w:val="标题 2 字符"/>
    <w:basedOn w:val="17"/>
    <w:link w:val="2"/>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1188</Words>
  <Characters>6774</Characters>
  <Lines>56</Lines>
  <Paragraphs>15</Paragraphs>
  <TotalTime>1</TotalTime>
  <ScaleCrop>false</ScaleCrop>
  <LinksUpToDate>false</LinksUpToDate>
  <CharactersWithSpaces>7947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2024-04-28T09:01:00Z</dcterms:created>
  <dc:creator>赵 恺（预算处）</dc:creator>
  <cp:lastModifiedBy>Administrator</cp:lastModifiedBy>
  <cp:lastPrinted>2018-12-31T10:56:00Z</cp:lastPrinted>
  <dcterms:modified xsi:type="dcterms:W3CDTF">2025-04-22T11:04:51Z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980BB23A7E97491BBD0A3ECEB7231241_13</vt:lpwstr>
  </property>
</Properties>
</file>